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D8" w:rsidRDefault="00D354D8" w:rsidP="00D354D8">
      <w:pPr>
        <w:jc w:val="center"/>
        <w:rPr>
          <w:color w:val="8064A2" w:themeColor="accent4"/>
          <w:sz w:val="56"/>
          <w:szCs w:val="56"/>
        </w:rPr>
      </w:pPr>
      <w:r w:rsidRPr="00D354D8">
        <w:rPr>
          <w:noProof/>
          <w:color w:val="8064A2" w:themeColor="accent4"/>
          <w:sz w:val="56"/>
          <w:szCs w:val="56"/>
          <w:lang w:eastAsia="en-IE"/>
        </w:rPr>
        <w:drawing>
          <wp:anchor distT="0" distB="0" distL="114300" distR="114300" simplePos="0" relativeHeight="251659264" behindDoc="0" locked="0" layoutInCell="1" allowOverlap="1">
            <wp:simplePos x="0" y="0"/>
            <wp:positionH relativeFrom="column">
              <wp:posOffset>1287133</wp:posOffset>
            </wp:positionH>
            <wp:positionV relativeFrom="paragraph">
              <wp:posOffset>17253</wp:posOffset>
            </wp:positionV>
            <wp:extent cx="3457132" cy="905773"/>
            <wp:effectExtent l="19050" t="0" r="8890" b="0"/>
            <wp:wrapThrough wrapText="bothSides">
              <wp:wrapPolygon edited="0">
                <wp:start x="2737" y="0"/>
                <wp:lineTo x="1428" y="3174"/>
                <wp:lineTo x="1428" y="4988"/>
                <wp:lineTo x="-119" y="11337"/>
                <wp:lineTo x="-119" y="12244"/>
                <wp:lineTo x="2142" y="14511"/>
                <wp:lineTo x="2380" y="17685"/>
                <wp:lineTo x="19514" y="17685"/>
                <wp:lineTo x="19633" y="14964"/>
                <wp:lineTo x="19633" y="14511"/>
                <wp:lineTo x="21656" y="12244"/>
                <wp:lineTo x="21656" y="11337"/>
                <wp:lineTo x="19633" y="7255"/>
                <wp:lineTo x="19871" y="4988"/>
                <wp:lineTo x="4165" y="0"/>
                <wp:lineTo x="2737" y="0"/>
              </wp:wrapPolygon>
            </wp:wrapThrough>
            <wp:docPr id="2"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5" r:link="rId6" cstate="print"/>
                    <a:srcRect/>
                    <a:stretch>
                      <a:fillRect/>
                    </a:stretch>
                  </pic:blipFill>
                  <pic:spPr bwMode="auto">
                    <a:xfrm>
                      <a:off x="0" y="0"/>
                      <a:ext cx="3458210" cy="907415"/>
                    </a:xfrm>
                    <a:prstGeom prst="rect">
                      <a:avLst/>
                    </a:prstGeom>
                    <a:noFill/>
                    <a:ln w="9525">
                      <a:noFill/>
                      <a:miter lim="800000"/>
                      <a:headEnd/>
                      <a:tailEnd/>
                    </a:ln>
                  </pic:spPr>
                </pic:pic>
              </a:graphicData>
            </a:graphic>
          </wp:anchor>
        </w:drawing>
      </w:r>
    </w:p>
    <w:p w:rsidR="00DD5C27" w:rsidRDefault="00DD5C27" w:rsidP="00DD5C27">
      <w:pPr>
        <w:rPr>
          <w:color w:val="8064A2" w:themeColor="accent4"/>
          <w:sz w:val="32"/>
          <w:szCs w:val="32"/>
        </w:rPr>
      </w:pPr>
    </w:p>
    <w:p w:rsidR="00DD5C27" w:rsidRPr="00A6700E" w:rsidRDefault="00DD5C27" w:rsidP="00DD5C27">
      <w:pPr>
        <w:rPr>
          <w:color w:val="8064A2" w:themeColor="accent4"/>
          <w:sz w:val="32"/>
          <w:szCs w:val="32"/>
        </w:rPr>
      </w:pPr>
      <w:r w:rsidRPr="00A6700E">
        <w:rPr>
          <w:color w:val="8064A2" w:themeColor="accent4"/>
          <w:sz w:val="32"/>
          <w:szCs w:val="32"/>
        </w:rPr>
        <w:t>Update from the Secretariat</w:t>
      </w:r>
    </w:p>
    <w:p w:rsidR="00D354D8" w:rsidRDefault="00D354D8" w:rsidP="00D354D8">
      <w:pPr>
        <w:rPr>
          <w:b/>
          <w:sz w:val="24"/>
          <w:szCs w:val="24"/>
        </w:rPr>
      </w:pPr>
      <w:r w:rsidRPr="00D354D8">
        <w:rPr>
          <w:b/>
          <w:sz w:val="24"/>
          <w:szCs w:val="24"/>
        </w:rPr>
        <w:t>Welcome to the first edition of the Meath Public Participation Network</w:t>
      </w:r>
      <w:r w:rsidR="00DD5C27">
        <w:rPr>
          <w:b/>
          <w:sz w:val="24"/>
          <w:szCs w:val="24"/>
        </w:rPr>
        <w:t xml:space="preserve"> (PPN)</w:t>
      </w:r>
      <w:r w:rsidRPr="00D354D8">
        <w:rPr>
          <w:b/>
          <w:sz w:val="24"/>
          <w:szCs w:val="24"/>
        </w:rPr>
        <w:t xml:space="preserve"> Newsletter. We will be circulating information to you through this newsletter and invite your group to share any news items</w:t>
      </w:r>
      <w:r>
        <w:rPr>
          <w:b/>
          <w:sz w:val="24"/>
          <w:szCs w:val="24"/>
        </w:rPr>
        <w:t xml:space="preserve"> or events with the PPN members. There are currently 444 groups registered with the PPN in Meath and we are hoping to i</w:t>
      </w:r>
      <w:r w:rsidR="00173E7A">
        <w:rPr>
          <w:b/>
          <w:sz w:val="24"/>
          <w:szCs w:val="24"/>
        </w:rPr>
        <w:t>ncrease this membership in 2017.</w:t>
      </w:r>
    </w:p>
    <w:p w:rsidR="00DD5C27" w:rsidRDefault="00DD5C27" w:rsidP="00DD5C27">
      <w:r>
        <w:t xml:space="preserve">Following on from the Plenary </w:t>
      </w:r>
      <w:r w:rsidR="00B97415">
        <w:t xml:space="preserve">in May </w:t>
      </w:r>
      <w:r>
        <w:t xml:space="preserve">at which there were a number </w:t>
      </w:r>
      <w:r w:rsidR="00B97415">
        <w:t>of key issues identified and through the</w:t>
      </w:r>
      <w:r>
        <w:t xml:space="preserve"> referral log, the Secretariat members have been focusing on the following:</w:t>
      </w:r>
    </w:p>
    <w:p w:rsidR="00DD5C27" w:rsidRDefault="00DD5C27" w:rsidP="00DD5C27">
      <w:r w:rsidRPr="004E4A91">
        <w:rPr>
          <w:b/>
        </w:rPr>
        <w:t>Litter/Waste in Meath:</w:t>
      </w:r>
      <w:r>
        <w:t xml:space="preserve"> REDC have been contracted by the Secretariat to carry out a survey in County Meath on the litter and waste problems that people are experiencing. Contact will be made with all PPN members in the New Year to complete this survey.</w:t>
      </w:r>
    </w:p>
    <w:p w:rsidR="00DD5C27" w:rsidRPr="004E4A91" w:rsidRDefault="00DD5C27" w:rsidP="00DD5C27">
      <w:r w:rsidRPr="004E4A91">
        <w:rPr>
          <w:b/>
        </w:rPr>
        <w:t>Information on grants:</w:t>
      </w:r>
      <w:r>
        <w:t xml:space="preserve"> Information on grant schemes will be circulated to all PPN members </w:t>
      </w:r>
      <w:r w:rsidRPr="004E4A91">
        <w:t>regularly in the New Year through membership of the Wheel/Funding Point.</w:t>
      </w:r>
    </w:p>
    <w:p w:rsidR="00DD5C27" w:rsidRDefault="00DD5C27" w:rsidP="00B97415">
      <w:pPr>
        <w:spacing w:after="0"/>
      </w:pPr>
      <w:r w:rsidRPr="004E4A91">
        <w:rPr>
          <w:b/>
        </w:rPr>
        <w:t>Communication of information:</w:t>
      </w:r>
      <w:r>
        <w:t xml:space="preserve"> The Secretariat will continue to send out correspondence to members and they will have regular news items in the Meath Chronicle to update people on what is happening in Meath PPN. </w:t>
      </w:r>
    </w:p>
    <w:p w:rsidR="00DD5C27" w:rsidRDefault="00DD5C27" w:rsidP="00B97415">
      <w:pPr>
        <w:spacing w:after="0"/>
      </w:pPr>
      <w:r w:rsidRPr="004E4A91">
        <w:t>News, eve</w:t>
      </w:r>
      <w:r w:rsidR="00560915">
        <w:t xml:space="preserve">nts and updates will </w:t>
      </w:r>
      <w:r w:rsidRPr="004E4A91">
        <w:t>be posted on the webs</w:t>
      </w:r>
      <w:r w:rsidR="00560915">
        <w:t xml:space="preserve">ite </w:t>
      </w:r>
      <w:hyperlink r:id="rId7" w:history="1">
        <w:r w:rsidR="00560915" w:rsidRPr="00560915">
          <w:rPr>
            <w:rStyle w:val="Hyperlink"/>
          </w:rPr>
          <w:t>www.meathppn.ie</w:t>
        </w:r>
      </w:hyperlink>
      <w:r w:rsidR="00560915">
        <w:t xml:space="preserve"> throughout 2017.</w:t>
      </w:r>
    </w:p>
    <w:p w:rsidR="004236B6" w:rsidRPr="004E4A91" w:rsidRDefault="004236B6" w:rsidP="00B97415">
      <w:pPr>
        <w:spacing w:after="0"/>
      </w:pPr>
      <w:r>
        <w:t>We will be changing over to a new database in the New Year and re-registering groups so please note that you may receive a welcome email from Meath PPN.</w:t>
      </w:r>
    </w:p>
    <w:p w:rsidR="00B97415" w:rsidRDefault="00B97415" w:rsidP="00B97415">
      <w:pPr>
        <w:spacing w:after="0"/>
        <w:rPr>
          <w:b/>
        </w:rPr>
      </w:pPr>
    </w:p>
    <w:p w:rsidR="00DD5C27" w:rsidRDefault="00DD5C27" w:rsidP="00B97415">
      <w:pPr>
        <w:spacing w:after="0"/>
      </w:pPr>
      <w:r w:rsidRPr="004E4A91">
        <w:rPr>
          <w:b/>
        </w:rPr>
        <w:t>Health and Safety:</w:t>
      </w:r>
      <w:r>
        <w:t xml:space="preserve"> The Secretariat have purchased a number of Defibrillators and related training. Correspondence will be circulated in the New Year informing groups on the</w:t>
      </w:r>
      <w:r w:rsidR="00B97415">
        <w:t xml:space="preserve"> criteria for the</w:t>
      </w:r>
      <w:r>
        <w:t xml:space="preserve"> allocation process for the Defibrillators.</w:t>
      </w:r>
    </w:p>
    <w:p w:rsidR="00B97415" w:rsidRDefault="00B97415" w:rsidP="00DD5C27">
      <w:pPr>
        <w:rPr>
          <w:b/>
        </w:rPr>
      </w:pPr>
    </w:p>
    <w:p w:rsidR="00DD5C27" w:rsidRPr="004E4A91" w:rsidRDefault="00DD5C27" w:rsidP="00DD5C27">
      <w:r w:rsidRPr="004E4A91">
        <w:rPr>
          <w:b/>
        </w:rPr>
        <w:t>Homelessness in Meath:</w:t>
      </w:r>
      <w:r>
        <w:rPr>
          <w:b/>
        </w:rPr>
        <w:t xml:space="preserve"> </w:t>
      </w:r>
      <w:r>
        <w:t>A guide on services available has been developed and it i</w:t>
      </w:r>
      <w:r w:rsidR="00B97415">
        <w:t>s being updated for circulation and it will be available on our website in the New Year.</w:t>
      </w:r>
    </w:p>
    <w:p w:rsidR="00B97415" w:rsidRDefault="00173E7A" w:rsidP="00D354D8">
      <w:pPr>
        <w:rPr>
          <w:color w:val="8064A2" w:themeColor="accent4"/>
          <w:sz w:val="32"/>
          <w:szCs w:val="32"/>
        </w:rPr>
      </w:pPr>
      <w:r w:rsidRPr="00D354D8">
        <w:rPr>
          <w:color w:val="8064A2" w:themeColor="accent4"/>
          <w:sz w:val="32"/>
          <w:szCs w:val="32"/>
        </w:rPr>
        <w:t>Committee Representatives</w:t>
      </w:r>
    </w:p>
    <w:p w:rsidR="00DD5C27" w:rsidRPr="00B97415" w:rsidRDefault="00D354D8" w:rsidP="00D354D8">
      <w:pPr>
        <w:rPr>
          <w:color w:val="8064A2" w:themeColor="accent4"/>
          <w:sz w:val="32"/>
          <w:szCs w:val="32"/>
        </w:rPr>
      </w:pPr>
      <w:r w:rsidRPr="004E4A91">
        <w:rPr>
          <w:sz w:val="24"/>
          <w:szCs w:val="24"/>
        </w:rPr>
        <w:t>Thr</w:t>
      </w:r>
      <w:r w:rsidR="00173E7A" w:rsidRPr="004E4A91">
        <w:rPr>
          <w:sz w:val="24"/>
          <w:szCs w:val="24"/>
        </w:rPr>
        <w:t>oughout 2016</w:t>
      </w:r>
      <w:r w:rsidRPr="004E4A91">
        <w:rPr>
          <w:sz w:val="24"/>
          <w:szCs w:val="24"/>
        </w:rPr>
        <w:t xml:space="preserve"> there have been a number of committee elections. The following list outlines all the PPN representatives on the various committees. In the New Year we will be strengthening the links that the representatives have with the wider PP</w:t>
      </w:r>
      <w:r w:rsidR="00D75A5F">
        <w:rPr>
          <w:sz w:val="24"/>
          <w:szCs w:val="24"/>
        </w:rPr>
        <w:t>N membership through furthering the</w:t>
      </w:r>
      <w:r w:rsidRPr="004E4A91">
        <w:rPr>
          <w:sz w:val="24"/>
          <w:szCs w:val="24"/>
        </w:rPr>
        <w:t xml:space="preserve"> development of the </w:t>
      </w:r>
      <w:r w:rsidR="00173E7A" w:rsidRPr="004E4A91">
        <w:rPr>
          <w:sz w:val="24"/>
          <w:szCs w:val="24"/>
        </w:rPr>
        <w:t xml:space="preserve">linkage groups. </w:t>
      </w:r>
      <w:r w:rsidR="00A6700E" w:rsidRPr="004E4A91">
        <w:rPr>
          <w:sz w:val="24"/>
          <w:szCs w:val="24"/>
        </w:rPr>
        <w:t>M</w:t>
      </w:r>
      <w:r w:rsidRPr="004E4A91">
        <w:rPr>
          <w:sz w:val="24"/>
          <w:szCs w:val="24"/>
        </w:rPr>
        <w:t>ember</w:t>
      </w:r>
      <w:r w:rsidR="00173E7A" w:rsidRPr="004E4A91">
        <w:rPr>
          <w:sz w:val="24"/>
          <w:szCs w:val="24"/>
        </w:rPr>
        <w:t>s of your group who have a particular interest in</w:t>
      </w:r>
      <w:r w:rsidR="009D1664">
        <w:rPr>
          <w:sz w:val="24"/>
          <w:szCs w:val="24"/>
        </w:rPr>
        <w:t xml:space="preserve"> one of the SPC’s or JPC</w:t>
      </w:r>
      <w:r w:rsidR="00173E7A" w:rsidRPr="004E4A91">
        <w:rPr>
          <w:sz w:val="24"/>
          <w:szCs w:val="24"/>
        </w:rPr>
        <w:t xml:space="preserve"> below </w:t>
      </w:r>
      <w:r w:rsidR="009D1664">
        <w:rPr>
          <w:sz w:val="24"/>
          <w:szCs w:val="24"/>
        </w:rPr>
        <w:t xml:space="preserve">can make contact with the PPN </w:t>
      </w:r>
      <w:r w:rsidR="009D1664">
        <w:rPr>
          <w:sz w:val="24"/>
          <w:szCs w:val="24"/>
        </w:rPr>
        <w:lastRenderedPageBreak/>
        <w:t>Resource Worker, Catherina O’Rourke</w:t>
      </w:r>
      <w:r w:rsidR="00A6700E" w:rsidRPr="004E4A91">
        <w:rPr>
          <w:sz w:val="24"/>
          <w:szCs w:val="24"/>
        </w:rPr>
        <w:t xml:space="preserve"> to become part of a linkage group</w:t>
      </w:r>
      <w:r w:rsidR="00C256A4">
        <w:rPr>
          <w:sz w:val="24"/>
          <w:szCs w:val="24"/>
        </w:rPr>
        <w:t xml:space="preserve"> for that particular committee.</w:t>
      </w:r>
    </w:p>
    <w:tbl>
      <w:tblPr>
        <w:tblStyle w:val="LightShading-Accent4"/>
        <w:tblW w:w="0" w:type="auto"/>
        <w:tblLayout w:type="fixed"/>
        <w:tblLook w:val="04A0"/>
      </w:tblPr>
      <w:tblGrid>
        <w:gridCol w:w="3085"/>
        <w:gridCol w:w="2977"/>
        <w:gridCol w:w="3118"/>
      </w:tblGrid>
      <w:tr w:rsidR="00173E7A" w:rsidTr="00C256A4">
        <w:trPr>
          <w:cnfStyle w:val="100000000000"/>
        </w:trPr>
        <w:tc>
          <w:tcPr>
            <w:cnfStyle w:val="001000000000"/>
            <w:tcW w:w="3085" w:type="dxa"/>
          </w:tcPr>
          <w:p w:rsidR="00173E7A" w:rsidRPr="004236B6" w:rsidRDefault="00173E7A" w:rsidP="00173E7A">
            <w:r w:rsidRPr="004236B6">
              <w:t>Committee</w:t>
            </w:r>
          </w:p>
        </w:tc>
        <w:tc>
          <w:tcPr>
            <w:tcW w:w="2977" w:type="dxa"/>
          </w:tcPr>
          <w:p w:rsidR="00173E7A" w:rsidRPr="004236B6" w:rsidRDefault="00173E7A" w:rsidP="00173E7A">
            <w:pPr>
              <w:cnfStyle w:val="100000000000"/>
            </w:pPr>
            <w:r w:rsidRPr="004236B6">
              <w:t xml:space="preserve">Name </w:t>
            </w:r>
          </w:p>
          <w:p w:rsidR="00173E7A" w:rsidRPr="004236B6" w:rsidRDefault="00173E7A" w:rsidP="00173E7A">
            <w:pPr>
              <w:cnfStyle w:val="100000000000"/>
            </w:pPr>
          </w:p>
        </w:tc>
        <w:tc>
          <w:tcPr>
            <w:tcW w:w="3118" w:type="dxa"/>
          </w:tcPr>
          <w:p w:rsidR="00173E7A" w:rsidRPr="004236B6" w:rsidRDefault="00173E7A" w:rsidP="00173E7A">
            <w:pPr>
              <w:cnfStyle w:val="100000000000"/>
            </w:pPr>
            <w:r w:rsidRPr="004236B6">
              <w:t>College</w:t>
            </w:r>
          </w:p>
        </w:tc>
      </w:tr>
      <w:tr w:rsidR="00173E7A" w:rsidTr="00C256A4">
        <w:trPr>
          <w:cnfStyle w:val="000000100000"/>
        </w:trPr>
        <w:tc>
          <w:tcPr>
            <w:cnfStyle w:val="001000000000"/>
            <w:tcW w:w="3085" w:type="dxa"/>
          </w:tcPr>
          <w:p w:rsidR="00173E7A" w:rsidRDefault="00173E7A" w:rsidP="00173E7A">
            <w:r>
              <w:t>Planning Economic Development Enterprise SPC</w:t>
            </w:r>
          </w:p>
        </w:tc>
        <w:tc>
          <w:tcPr>
            <w:tcW w:w="2977" w:type="dxa"/>
          </w:tcPr>
          <w:p w:rsidR="00173E7A" w:rsidRDefault="00173E7A" w:rsidP="00173E7A">
            <w:pPr>
              <w:cnfStyle w:val="000000100000"/>
            </w:pPr>
            <w:r>
              <w:t>Kieran Cummins</w:t>
            </w:r>
          </w:p>
        </w:tc>
        <w:tc>
          <w:tcPr>
            <w:tcW w:w="3118" w:type="dxa"/>
          </w:tcPr>
          <w:p w:rsidR="00173E7A" w:rsidRDefault="00173E7A" w:rsidP="00173E7A">
            <w:pPr>
              <w:cnfStyle w:val="000000100000"/>
            </w:pPr>
            <w:r>
              <w:t>Environment</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r>
              <w:t>Alan Watson</w:t>
            </w:r>
          </w:p>
          <w:p w:rsidR="00173E7A" w:rsidRDefault="00173E7A" w:rsidP="00173E7A">
            <w:pPr>
              <w:cnfStyle w:val="000000000000"/>
            </w:pPr>
          </w:p>
        </w:tc>
        <w:tc>
          <w:tcPr>
            <w:tcW w:w="3118" w:type="dxa"/>
          </w:tcPr>
          <w:p w:rsidR="00173E7A"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r>
              <w:t>Environment SPC</w:t>
            </w:r>
          </w:p>
        </w:tc>
        <w:tc>
          <w:tcPr>
            <w:tcW w:w="2977" w:type="dxa"/>
          </w:tcPr>
          <w:p w:rsidR="00173E7A" w:rsidRDefault="00173E7A" w:rsidP="00173E7A">
            <w:pPr>
              <w:cnfStyle w:val="000000100000"/>
            </w:pPr>
            <w:r>
              <w:t>Karen Mahon</w:t>
            </w:r>
          </w:p>
          <w:p w:rsidR="00173E7A" w:rsidRDefault="00173E7A" w:rsidP="00173E7A">
            <w:pPr>
              <w:cnfStyle w:val="000000100000"/>
            </w:pPr>
          </w:p>
        </w:tc>
        <w:tc>
          <w:tcPr>
            <w:tcW w:w="3118" w:type="dxa"/>
          </w:tcPr>
          <w:p w:rsidR="00173E7A" w:rsidRDefault="00173E7A" w:rsidP="00173E7A">
            <w:pPr>
              <w:cnfStyle w:val="000000100000"/>
            </w:pPr>
            <w:r>
              <w:t xml:space="preserve">Environment </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r>
              <w:t xml:space="preserve">Tom Rogers </w:t>
            </w:r>
          </w:p>
          <w:p w:rsidR="00173E7A" w:rsidRDefault="00173E7A" w:rsidP="00173E7A">
            <w:pPr>
              <w:cnfStyle w:val="000000000000"/>
            </w:pPr>
          </w:p>
        </w:tc>
        <w:tc>
          <w:tcPr>
            <w:tcW w:w="3118" w:type="dxa"/>
          </w:tcPr>
          <w:p w:rsidR="00173E7A"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r>
              <w:t>Transportation SPC</w:t>
            </w:r>
          </w:p>
        </w:tc>
        <w:tc>
          <w:tcPr>
            <w:tcW w:w="2977" w:type="dxa"/>
          </w:tcPr>
          <w:p w:rsidR="00173E7A" w:rsidRDefault="00173E7A" w:rsidP="00173E7A">
            <w:pPr>
              <w:cnfStyle w:val="000000100000"/>
            </w:pPr>
            <w:r>
              <w:t>Suzanne Brady</w:t>
            </w:r>
          </w:p>
          <w:p w:rsidR="00173E7A" w:rsidRDefault="00173E7A" w:rsidP="00173E7A">
            <w:pPr>
              <w:cnfStyle w:val="000000100000"/>
            </w:pPr>
          </w:p>
        </w:tc>
        <w:tc>
          <w:tcPr>
            <w:tcW w:w="3118" w:type="dxa"/>
          </w:tcPr>
          <w:p w:rsidR="00173E7A" w:rsidRDefault="00173E7A" w:rsidP="00173E7A">
            <w:pPr>
              <w:cnfStyle w:val="000000100000"/>
            </w:pPr>
            <w:r>
              <w:t>Environment</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r>
              <w:t>Ben Bailey</w:t>
            </w:r>
          </w:p>
          <w:p w:rsidR="00173E7A" w:rsidRDefault="00173E7A" w:rsidP="00173E7A">
            <w:pPr>
              <w:cnfStyle w:val="000000000000"/>
            </w:pPr>
          </w:p>
        </w:tc>
        <w:tc>
          <w:tcPr>
            <w:tcW w:w="3118" w:type="dxa"/>
          </w:tcPr>
          <w:p w:rsidR="00173E7A"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r>
              <w:t>Housing Community Cultural Development SPC</w:t>
            </w:r>
          </w:p>
        </w:tc>
        <w:tc>
          <w:tcPr>
            <w:tcW w:w="2977" w:type="dxa"/>
          </w:tcPr>
          <w:p w:rsidR="00173E7A" w:rsidRDefault="00173E7A" w:rsidP="00173E7A">
            <w:pPr>
              <w:cnfStyle w:val="000000100000"/>
            </w:pPr>
            <w:r>
              <w:t>Cathy Whelan</w:t>
            </w:r>
          </w:p>
          <w:p w:rsidR="00173E7A" w:rsidRDefault="00173E7A" w:rsidP="00173E7A">
            <w:pPr>
              <w:cnfStyle w:val="000000100000"/>
            </w:pPr>
          </w:p>
        </w:tc>
        <w:tc>
          <w:tcPr>
            <w:tcW w:w="3118" w:type="dxa"/>
          </w:tcPr>
          <w:p w:rsidR="00173E7A" w:rsidRDefault="00173E7A" w:rsidP="00173E7A">
            <w:pPr>
              <w:cnfStyle w:val="000000100000"/>
            </w:pPr>
            <w:r>
              <w:t>Social Inclusion</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r>
              <w:t>Vicky Harris</w:t>
            </w:r>
          </w:p>
          <w:p w:rsidR="00173E7A" w:rsidRDefault="00173E7A" w:rsidP="00173E7A">
            <w:pPr>
              <w:cnfStyle w:val="000000000000"/>
            </w:pPr>
          </w:p>
        </w:tc>
        <w:tc>
          <w:tcPr>
            <w:tcW w:w="3118" w:type="dxa"/>
          </w:tcPr>
          <w:p w:rsidR="00173E7A" w:rsidRDefault="00173E7A" w:rsidP="00173E7A">
            <w:pPr>
              <w:cnfStyle w:val="000000000000"/>
            </w:pPr>
            <w:r>
              <w:t>Social Inclusion</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pPr>
            <w:r>
              <w:t>Niamh Bn Ui Loinsigh</w:t>
            </w:r>
          </w:p>
          <w:p w:rsidR="00173E7A" w:rsidRDefault="00173E7A" w:rsidP="00173E7A">
            <w:pPr>
              <w:cnfStyle w:val="000000100000"/>
            </w:pPr>
          </w:p>
        </w:tc>
        <w:tc>
          <w:tcPr>
            <w:tcW w:w="3118" w:type="dxa"/>
          </w:tcPr>
          <w:p w:rsidR="00173E7A" w:rsidRDefault="00173E7A" w:rsidP="00173E7A">
            <w:pPr>
              <w:cnfStyle w:val="000000100000"/>
            </w:pPr>
            <w:r>
              <w:t>Community/Voluntary</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r>
              <w:t>Liam Carey</w:t>
            </w:r>
          </w:p>
          <w:p w:rsidR="00173E7A" w:rsidRDefault="00173E7A" w:rsidP="00173E7A">
            <w:pPr>
              <w:cnfStyle w:val="000000000000"/>
            </w:pPr>
          </w:p>
        </w:tc>
        <w:tc>
          <w:tcPr>
            <w:tcW w:w="3118" w:type="dxa"/>
          </w:tcPr>
          <w:p w:rsidR="00173E7A"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r>
              <w:t>LCDC</w:t>
            </w:r>
          </w:p>
        </w:tc>
        <w:tc>
          <w:tcPr>
            <w:tcW w:w="2977" w:type="dxa"/>
          </w:tcPr>
          <w:p w:rsidR="00173E7A" w:rsidRDefault="00173E7A" w:rsidP="00173E7A">
            <w:pPr>
              <w:cnfStyle w:val="000000100000"/>
            </w:pPr>
            <w:proofErr w:type="spellStart"/>
            <w:r>
              <w:t>Eamon</w:t>
            </w:r>
            <w:proofErr w:type="spellEnd"/>
            <w:r>
              <w:t xml:space="preserve"> </w:t>
            </w:r>
            <w:proofErr w:type="spellStart"/>
            <w:r>
              <w:t>Cassells</w:t>
            </w:r>
            <w:proofErr w:type="spellEnd"/>
          </w:p>
          <w:p w:rsidR="00173E7A" w:rsidRDefault="00173E7A" w:rsidP="00173E7A">
            <w:pPr>
              <w:cnfStyle w:val="000000100000"/>
            </w:pPr>
          </w:p>
        </w:tc>
        <w:tc>
          <w:tcPr>
            <w:tcW w:w="3118" w:type="dxa"/>
          </w:tcPr>
          <w:p w:rsidR="00173E7A" w:rsidRDefault="00173E7A" w:rsidP="00173E7A">
            <w:pPr>
              <w:cnfStyle w:val="000000100000"/>
            </w:pPr>
            <w:r>
              <w:t>Community/Voluntary</w:t>
            </w:r>
          </w:p>
        </w:tc>
      </w:tr>
      <w:tr w:rsidR="00173E7A" w:rsidTr="00C256A4">
        <w:tc>
          <w:tcPr>
            <w:cnfStyle w:val="001000000000"/>
            <w:tcW w:w="3085" w:type="dxa"/>
          </w:tcPr>
          <w:p w:rsidR="00173E7A" w:rsidRDefault="00173E7A" w:rsidP="00173E7A"/>
        </w:tc>
        <w:tc>
          <w:tcPr>
            <w:tcW w:w="2977" w:type="dxa"/>
          </w:tcPr>
          <w:p w:rsidR="00A6700E" w:rsidRDefault="00173E7A" w:rsidP="00173E7A">
            <w:pPr>
              <w:cnfStyle w:val="000000000000"/>
            </w:pPr>
            <w:r>
              <w:t>John Higgins</w:t>
            </w:r>
          </w:p>
        </w:tc>
        <w:tc>
          <w:tcPr>
            <w:tcW w:w="3118" w:type="dxa"/>
          </w:tcPr>
          <w:p w:rsidR="00173E7A"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pPr>
            <w:r>
              <w:t xml:space="preserve">Sheila </w:t>
            </w:r>
            <w:proofErr w:type="spellStart"/>
            <w:r>
              <w:t>Comiskey</w:t>
            </w:r>
            <w:proofErr w:type="spellEnd"/>
          </w:p>
          <w:p w:rsidR="00173E7A" w:rsidRDefault="00173E7A" w:rsidP="00173E7A">
            <w:pPr>
              <w:cnfStyle w:val="000000100000"/>
            </w:pPr>
          </w:p>
        </w:tc>
        <w:tc>
          <w:tcPr>
            <w:tcW w:w="3118" w:type="dxa"/>
          </w:tcPr>
          <w:p w:rsidR="00173E7A" w:rsidRPr="00B346D2" w:rsidRDefault="00173E7A" w:rsidP="00173E7A">
            <w:pPr>
              <w:cnfStyle w:val="000000100000"/>
            </w:pPr>
            <w:r w:rsidRPr="00B346D2">
              <w:t>Social Inclusion</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pPr>
          </w:p>
          <w:p w:rsidR="00173E7A" w:rsidRDefault="00173E7A" w:rsidP="00173E7A">
            <w:pPr>
              <w:cnfStyle w:val="000000000000"/>
            </w:pPr>
            <w:r>
              <w:t>Sinead Smith</w:t>
            </w:r>
          </w:p>
        </w:tc>
        <w:tc>
          <w:tcPr>
            <w:tcW w:w="3118" w:type="dxa"/>
          </w:tcPr>
          <w:p w:rsidR="00173E7A" w:rsidRPr="00B346D2" w:rsidRDefault="00173E7A" w:rsidP="00173E7A">
            <w:pPr>
              <w:cnfStyle w:val="000000000000"/>
            </w:pPr>
            <w:r w:rsidRPr="00B346D2">
              <w:t>Social Inclusion</w:t>
            </w:r>
          </w:p>
        </w:tc>
      </w:tr>
      <w:tr w:rsidR="00173E7A" w:rsidTr="00C256A4">
        <w:trPr>
          <w:cnfStyle w:val="000000100000"/>
        </w:trPr>
        <w:tc>
          <w:tcPr>
            <w:cnfStyle w:val="001000000000"/>
            <w:tcW w:w="3085" w:type="dxa"/>
          </w:tcPr>
          <w:p w:rsidR="00173E7A" w:rsidRDefault="00173E7A" w:rsidP="00173E7A"/>
          <w:p w:rsidR="00173E7A" w:rsidRDefault="00173E7A" w:rsidP="00173E7A"/>
        </w:tc>
        <w:tc>
          <w:tcPr>
            <w:tcW w:w="2977" w:type="dxa"/>
          </w:tcPr>
          <w:p w:rsidR="00173E7A" w:rsidRDefault="00173E7A" w:rsidP="00173E7A">
            <w:pPr>
              <w:cnfStyle w:val="000000100000"/>
            </w:pPr>
          </w:p>
          <w:p w:rsidR="00173E7A" w:rsidRDefault="00173E7A" w:rsidP="00173E7A">
            <w:pPr>
              <w:cnfStyle w:val="000000100000"/>
            </w:pPr>
            <w:r>
              <w:t>Suzanne Brady</w:t>
            </w:r>
          </w:p>
        </w:tc>
        <w:tc>
          <w:tcPr>
            <w:tcW w:w="3118" w:type="dxa"/>
          </w:tcPr>
          <w:p w:rsidR="00173E7A" w:rsidRPr="00B346D2" w:rsidRDefault="00173E7A" w:rsidP="00173E7A">
            <w:pPr>
              <w:cnfStyle w:val="000000100000"/>
            </w:pPr>
            <w:r>
              <w:t>Environment</w:t>
            </w:r>
          </w:p>
        </w:tc>
      </w:tr>
      <w:tr w:rsidR="00173E7A" w:rsidTr="00C256A4">
        <w:tc>
          <w:tcPr>
            <w:cnfStyle w:val="001000000000"/>
            <w:tcW w:w="3085" w:type="dxa"/>
          </w:tcPr>
          <w:p w:rsidR="00173E7A" w:rsidRDefault="00173E7A" w:rsidP="00173E7A">
            <w:r>
              <w:t>Joint Policing Committee</w:t>
            </w:r>
          </w:p>
        </w:tc>
        <w:tc>
          <w:tcPr>
            <w:tcW w:w="2977" w:type="dxa"/>
          </w:tcPr>
          <w:p w:rsidR="00173E7A" w:rsidRPr="00E44088" w:rsidRDefault="00173E7A" w:rsidP="00173E7A">
            <w:pPr>
              <w:cnfStyle w:val="000000000000"/>
              <w:rPr>
                <w:rFonts w:ascii="Calibri" w:hAnsi="Calibri"/>
              </w:rPr>
            </w:pPr>
            <w:r w:rsidRPr="00E44088">
              <w:rPr>
                <w:rFonts w:ascii="Calibri" w:hAnsi="Calibri"/>
              </w:rPr>
              <w:t>Angela Murphy</w:t>
            </w:r>
          </w:p>
          <w:p w:rsidR="00173E7A" w:rsidRPr="00E44088" w:rsidRDefault="00173E7A" w:rsidP="00173E7A">
            <w:pPr>
              <w:cnfStyle w:val="000000000000"/>
            </w:pPr>
          </w:p>
        </w:tc>
        <w:tc>
          <w:tcPr>
            <w:tcW w:w="3118" w:type="dxa"/>
          </w:tcPr>
          <w:p w:rsidR="00173E7A" w:rsidRPr="00B346D2"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rPr>
            </w:pPr>
            <w:r w:rsidRPr="00E44088">
              <w:rPr>
                <w:rFonts w:ascii="Calibri" w:hAnsi="Calibri"/>
              </w:rPr>
              <w:t>Carol O'Flaherty</w:t>
            </w:r>
          </w:p>
          <w:p w:rsidR="00173E7A" w:rsidRPr="00021D39" w:rsidRDefault="00173E7A" w:rsidP="00173E7A">
            <w:pPr>
              <w:cnfStyle w:val="000000100000"/>
              <w:rPr>
                <w:rFonts w:ascii="Calibri" w:hAnsi="Calibri"/>
              </w:rPr>
            </w:pPr>
            <w:r>
              <w:rPr>
                <w:rFonts w:ascii="Calibri" w:hAnsi="Calibri"/>
              </w:rPr>
              <w:t xml:space="preserve">Tracey Mc </w:t>
            </w:r>
            <w:proofErr w:type="spellStart"/>
            <w:r>
              <w:rPr>
                <w:rFonts w:ascii="Calibri" w:hAnsi="Calibri"/>
              </w:rPr>
              <w:t>Elhenny</w:t>
            </w:r>
            <w:proofErr w:type="spellEnd"/>
          </w:p>
        </w:tc>
        <w:tc>
          <w:tcPr>
            <w:tcW w:w="3118" w:type="dxa"/>
          </w:tcPr>
          <w:p w:rsidR="00173E7A" w:rsidRPr="00B346D2" w:rsidRDefault="00173E7A" w:rsidP="00173E7A">
            <w:pPr>
              <w:cnfStyle w:val="000000100000"/>
            </w:pPr>
            <w:r>
              <w:t>Community/Voluntary</w:t>
            </w:r>
          </w:p>
        </w:tc>
      </w:tr>
      <w:tr w:rsidR="00173E7A" w:rsidTr="00C256A4">
        <w:tc>
          <w:tcPr>
            <w:cnfStyle w:val="001000000000"/>
            <w:tcW w:w="3085" w:type="dxa"/>
          </w:tcPr>
          <w:p w:rsidR="00173E7A" w:rsidRDefault="00173E7A" w:rsidP="00173E7A"/>
        </w:tc>
        <w:tc>
          <w:tcPr>
            <w:tcW w:w="2977" w:type="dxa"/>
          </w:tcPr>
          <w:p w:rsidR="00173E7A" w:rsidRPr="00E44088" w:rsidRDefault="00173E7A" w:rsidP="00173E7A">
            <w:pPr>
              <w:cnfStyle w:val="000000000000"/>
              <w:rPr>
                <w:rFonts w:ascii="Calibri" w:hAnsi="Calibri"/>
              </w:rPr>
            </w:pPr>
            <w:r w:rsidRPr="00E44088">
              <w:rPr>
                <w:rFonts w:ascii="Calibri" w:hAnsi="Calibri"/>
              </w:rPr>
              <w:t>Thomas Fitzpatrick</w:t>
            </w:r>
          </w:p>
          <w:p w:rsidR="00173E7A" w:rsidRPr="00E44088" w:rsidRDefault="00173E7A" w:rsidP="00173E7A">
            <w:pPr>
              <w:cnfStyle w:val="000000000000"/>
            </w:pPr>
          </w:p>
        </w:tc>
        <w:tc>
          <w:tcPr>
            <w:tcW w:w="3118" w:type="dxa"/>
          </w:tcPr>
          <w:p w:rsidR="00173E7A" w:rsidRPr="00B346D2" w:rsidRDefault="00173E7A" w:rsidP="00173E7A">
            <w:pPr>
              <w:cnfStyle w:val="000000000000"/>
            </w:pPr>
            <w:r>
              <w:t>Community/Voluntary</w:t>
            </w:r>
          </w:p>
        </w:tc>
      </w:tr>
      <w:tr w:rsidR="00173E7A" w:rsidTr="00C256A4">
        <w:trPr>
          <w:cnfStyle w:val="000000100000"/>
          <w:trHeight w:val="644"/>
        </w:trPr>
        <w:tc>
          <w:tcPr>
            <w:cnfStyle w:val="001000000000"/>
            <w:tcW w:w="3085" w:type="dxa"/>
          </w:tcPr>
          <w:p w:rsidR="00173E7A" w:rsidRDefault="00173E7A" w:rsidP="00173E7A"/>
        </w:tc>
        <w:tc>
          <w:tcPr>
            <w:tcW w:w="2977" w:type="dxa"/>
          </w:tcPr>
          <w:p w:rsidR="00173E7A" w:rsidRPr="00E44088" w:rsidRDefault="00173E7A" w:rsidP="00173E7A">
            <w:pPr>
              <w:cnfStyle w:val="000000100000"/>
              <w:rPr>
                <w:rFonts w:ascii="Calibri" w:hAnsi="Calibri"/>
              </w:rPr>
            </w:pPr>
            <w:r w:rsidRPr="00E44088">
              <w:rPr>
                <w:rFonts w:ascii="Calibri" w:hAnsi="Calibri"/>
              </w:rPr>
              <w:t>Bernard Kenny</w:t>
            </w:r>
          </w:p>
          <w:p w:rsidR="00173E7A" w:rsidRPr="00E44088" w:rsidRDefault="00173E7A" w:rsidP="00173E7A">
            <w:pPr>
              <w:cnfStyle w:val="000000100000"/>
            </w:pPr>
          </w:p>
        </w:tc>
        <w:tc>
          <w:tcPr>
            <w:tcW w:w="3118" w:type="dxa"/>
          </w:tcPr>
          <w:p w:rsidR="00173E7A" w:rsidRPr="00B346D2" w:rsidRDefault="00173E7A" w:rsidP="00173E7A">
            <w:pPr>
              <w:cnfStyle w:val="000000100000"/>
            </w:pPr>
            <w:r>
              <w:t>Community/Voluntary</w:t>
            </w:r>
          </w:p>
        </w:tc>
      </w:tr>
      <w:tr w:rsidR="00173E7A" w:rsidTr="00C256A4">
        <w:trPr>
          <w:trHeight w:val="644"/>
        </w:trPr>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rPr>
            </w:pPr>
            <w:r w:rsidRPr="00E44088">
              <w:rPr>
                <w:rFonts w:ascii="Calibri" w:hAnsi="Calibri"/>
              </w:rPr>
              <w:t>Conor O’Leary</w:t>
            </w:r>
          </w:p>
          <w:p w:rsidR="00173E7A" w:rsidRPr="00E44088" w:rsidRDefault="00173E7A" w:rsidP="00173E7A">
            <w:pPr>
              <w:cnfStyle w:val="000000000000"/>
              <w:rPr>
                <w:rFonts w:ascii="Calibri" w:hAnsi="Calibri"/>
              </w:rPr>
            </w:pPr>
            <w:proofErr w:type="spellStart"/>
            <w:r>
              <w:rPr>
                <w:rFonts w:ascii="Calibri" w:hAnsi="Calibri"/>
              </w:rPr>
              <w:t>Muintir</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Tire</w:t>
            </w:r>
          </w:p>
        </w:tc>
        <w:tc>
          <w:tcPr>
            <w:tcW w:w="3118" w:type="dxa"/>
          </w:tcPr>
          <w:p w:rsidR="00173E7A" w:rsidRPr="00B346D2" w:rsidRDefault="00173E7A" w:rsidP="00173E7A">
            <w:pPr>
              <w:cnfStyle w:val="000000000000"/>
            </w:pPr>
            <w:r>
              <w:t>Community/Voluntary</w:t>
            </w:r>
          </w:p>
        </w:tc>
      </w:tr>
      <w:tr w:rsidR="00173E7A" w:rsidTr="00C256A4">
        <w:trPr>
          <w:cnfStyle w:val="000000100000"/>
          <w:trHeight w:val="644"/>
        </w:trPr>
        <w:tc>
          <w:tcPr>
            <w:cnfStyle w:val="001000000000"/>
            <w:tcW w:w="3085" w:type="dxa"/>
          </w:tcPr>
          <w:p w:rsidR="00173E7A" w:rsidRDefault="00173E7A" w:rsidP="00173E7A"/>
        </w:tc>
        <w:tc>
          <w:tcPr>
            <w:tcW w:w="2977" w:type="dxa"/>
          </w:tcPr>
          <w:p w:rsidR="00173E7A" w:rsidRDefault="00173E7A" w:rsidP="00173E7A">
            <w:pPr>
              <w:cnfStyle w:val="000000100000"/>
              <w:rPr>
                <w:color w:val="000000"/>
              </w:rPr>
            </w:pPr>
            <w:r>
              <w:rPr>
                <w:color w:val="000000"/>
              </w:rPr>
              <w:t>Jessica Bennett/</w:t>
            </w:r>
            <w:proofErr w:type="spellStart"/>
            <w:r>
              <w:rPr>
                <w:color w:val="000000"/>
              </w:rPr>
              <w:t>Eboni</w:t>
            </w:r>
            <w:proofErr w:type="spellEnd"/>
            <w:r>
              <w:rPr>
                <w:color w:val="000000"/>
              </w:rPr>
              <w:t xml:space="preserve"> Burke</w:t>
            </w:r>
          </w:p>
          <w:p w:rsidR="00173E7A" w:rsidRPr="00E44088" w:rsidRDefault="00173E7A" w:rsidP="00173E7A">
            <w:pPr>
              <w:cnfStyle w:val="000000100000"/>
              <w:rPr>
                <w:rFonts w:ascii="Calibri" w:hAnsi="Calibri"/>
              </w:rPr>
            </w:pPr>
            <w:proofErr w:type="spellStart"/>
            <w:r>
              <w:rPr>
                <w:rFonts w:ascii="Calibri" w:hAnsi="Calibri"/>
              </w:rPr>
              <w:t>Comhairle</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nOg</w:t>
            </w:r>
            <w:proofErr w:type="spellEnd"/>
          </w:p>
        </w:tc>
        <w:tc>
          <w:tcPr>
            <w:tcW w:w="3118" w:type="dxa"/>
          </w:tcPr>
          <w:p w:rsidR="00173E7A" w:rsidRPr="00B346D2" w:rsidRDefault="00173E7A" w:rsidP="00173E7A">
            <w:pPr>
              <w:cnfStyle w:val="000000100000"/>
            </w:pPr>
            <w:r>
              <w:t>Community/Voluntary</w:t>
            </w:r>
          </w:p>
        </w:tc>
      </w:tr>
      <w:tr w:rsidR="00173E7A" w:rsidTr="00C256A4">
        <w:trPr>
          <w:trHeight w:val="644"/>
        </w:trPr>
        <w:tc>
          <w:tcPr>
            <w:cnfStyle w:val="001000000000"/>
            <w:tcW w:w="3085" w:type="dxa"/>
          </w:tcPr>
          <w:p w:rsidR="00173E7A" w:rsidRDefault="00173E7A" w:rsidP="00173E7A"/>
        </w:tc>
        <w:tc>
          <w:tcPr>
            <w:tcW w:w="2977" w:type="dxa"/>
          </w:tcPr>
          <w:p w:rsidR="00173E7A" w:rsidRDefault="00173E7A" w:rsidP="00173E7A">
            <w:pPr>
              <w:cnfStyle w:val="000000000000"/>
            </w:pPr>
            <w:r w:rsidRPr="00E44088">
              <w:t>Jim Matthews</w:t>
            </w:r>
          </w:p>
          <w:p w:rsidR="00173E7A" w:rsidRDefault="00173E7A" w:rsidP="00173E7A">
            <w:pPr>
              <w:cnfStyle w:val="000000000000"/>
            </w:pPr>
            <w:proofErr w:type="spellStart"/>
            <w:r>
              <w:t>Laterlife</w:t>
            </w:r>
            <w:proofErr w:type="spellEnd"/>
          </w:p>
          <w:p w:rsidR="00560915" w:rsidRDefault="00560915" w:rsidP="00173E7A">
            <w:pPr>
              <w:cnfStyle w:val="000000000000"/>
            </w:pPr>
          </w:p>
          <w:p w:rsidR="00560915" w:rsidRPr="00E44088" w:rsidRDefault="00560915" w:rsidP="00173E7A">
            <w:pPr>
              <w:cnfStyle w:val="000000000000"/>
              <w:rPr>
                <w:rFonts w:ascii="Calibri" w:hAnsi="Calibri"/>
              </w:rPr>
            </w:pPr>
          </w:p>
        </w:tc>
        <w:tc>
          <w:tcPr>
            <w:tcW w:w="3118" w:type="dxa"/>
          </w:tcPr>
          <w:p w:rsidR="00173E7A" w:rsidRPr="00B346D2" w:rsidRDefault="00173E7A" w:rsidP="00173E7A">
            <w:pPr>
              <w:cnfStyle w:val="000000000000"/>
            </w:pPr>
            <w:r>
              <w:t>Community/Voluntary</w:t>
            </w:r>
          </w:p>
        </w:tc>
      </w:tr>
      <w:tr w:rsidR="00173E7A" w:rsidTr="00C256A4">
        <w:trPr>
          <w:cnfStyle w:val="000000100000"/>
        </w:trPr>
        <w:tc>
          <w:tcPr>
            <w:cnfStyle w:val="001000000000"/>
            <w:tcW w:w="3085" w:type="dxa"/>
          </w:tcPr>
          <w:p w:rsidR="00173E7A" w:rsidRDefault="00173E7A" w:rsidP="00173E7A">
            <w:r>
              <w:lastRenderedPageBreak/>
              <w:t>Secretariat</w:t>
            </w:r>
          </w:p>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Michael Gunn</w:t>
            </w:r>
          </w:p>
        </w:tc>
        <w:tc>
          <w:tcPr>
            <w:tcW w:w="3118" w:type="dxa"/>
          </w:tcPr>
          <w:p w:rsidR="00173E7A" w:rsidRPr="00B346D2" w:rsidRDefault="00173E7A" w:rsidP="00173E7A">
            <w:pPr>
              <w:cnfStyle w:val="000000100000"/>
            </w:pPr>
            <w:r>
              <w:t xml:space="preserve">Environment </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Karen Mahon</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r>
              <w:t>Environment</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Vicky Harris</w:t>
            </w:r>
          </w:p>
        </w:tc>
        <w:tc>
          <w:tcPr>
            <w:tcW w:w="3118" w:type="dxa"/>
          </w:tcPr>
          <w:p w:rsidR="00173E7A" w:rsidRPr="00B346D2" w:rsidRDefault="00173E7A" w:rsidP="00173E7A">
            <w:pPr>
              <w:cnfStyle w:val="000000100000"/>
            </w:pPr>
            <w:r>
              <w:t>Social Inclusion</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Tracey Holsgrove</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r>
              <w:t>Social Inclusion</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Keith Mulvey</w:t>
            </w:r>
          </w:p>
        </w:tc>
        <w:tc>
          <w:tcPr>
            <w:tcW w:w="3118" w:type="dxa"/>
          </w:tcPr>
          <w:p w:rsidR="00173E7A" w:rsidRDefault="00173E7A" w:rsidP="00173E7A">
            <w:pPr>
              <w:cnfStyle w:val="000000100000"/>
            </w:pPr>
            <w:r>
              <w:t>Kells MD</w:t>
            </w:r>
          </w:p>
          <w:p w:rsidR="00173E7A" w:rsidRPr="00B346D2" w:rsidRDefault="00173E7A" w:rsidP="00173E7A">
            <w:pPr>
              <w:cnfStyle w:val="000000100000"/>
            </w:pP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Gareth O’Brien</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r>
              <w:t xml:space="preserve">Community </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Ronan Murtagh</w:t>
            </w:r>
          </w:p>
          <w:p w:rsidR="00173E7A" w:rsidRDefault="00173E7A" w:rsidP="00173E7A">
            <w:pPr>
              <w:cnfStyle w:val="000000100000"/>
              <w:rPr>
                <w:rFonts w:ascii="Calibri" w:hAnsi="Calibri"/>
                <w:color w:val="000000"/>
              </w:rPr>
            </w:pPr>
          </w:p>
        </w:tc>
        <w:tc>
          <w:tcPr>
            <w:tcW w:w="3118" w:type="dxa"/>
          </w:tcPr>
          <w:p w:rsidR="00173E7A" w:rsidRPr="00B346D2" w:rsidRDefault="00173E7A" w:rsidP="00173E7A">
            <w:pPr>
              <w:cnfStyle w:val="000000100000"/>
            </w:pPr>
            <w:r>
              <w:t>Community</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William Brennan</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proofErr w:type="spellStart"/>
            <w:r>
              <w:t>Ashbourne</w:t>
            </w:r>
            <w:proofErr w:type="spellEnd"/>
            <w:r>
              <w:t xml:space="preserve"> MD</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Pat Wigglesworth</w:t>
            </w:r>
          </w:p>
          <w:p w:rsidR="00173E7A" w:rsidRDefault="00173E7A" w:rsidP="00173E7A">
            <w:pPr>
              <w:cnfStyle w:val="000000100000"/>
              <w:rPr>
                <w:rFonts w:ascii="Calibri" w:hAnsi="Calibri"/>
                <w:color w:val="000000"/>
              </w:rPr>
            </w:pPr>
          </w:p>
        </w:tc>
        <w:tc>
          <w:tcPr>
            <w:tcW w:w="3118" w:type="dxa"/>
          </w:tcPr>
          <w:p w:rsidR="00173E7A" w:rsidRPr="00B346D2" w:rsidRDefault="00173E7A" w:rsidP="00173E7A">
            <w:pPr>
              <w:cnfStyle w:val="000000100000"/>
            </w:pPr>
            <w:r>
              <w:t>Trim MD</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Patricia Lynch</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proofErr w:type="spellStart"/>
            <w:r>
              <w:t>Rathoath</w:t>
            </w:r>
            <w:proofErr w:type="spellEnd"/>
            <w:r>
              <w:t xml:space="preserve"> MD</w:t>
            </w: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Teresa Stack</w:t>
            </w:r>
          </w:p>
          <w:p w:rsidR="00173E7A" w:rsidRDefault="00173E7A" w:rsidP="00173E7A">
            <w:pPr>
              <w:cnfStyle w:val="000000100000"/>
              <w:rPr>
                <w:rFonts w:ascii="Calibri" w:hAnsi="Calibri"/>
                <w:color w:val="000000"/>
              </w:rPr>
            </w:pPr>
          </w:p>
        </w:tc>
        <w:tc>
          <w:tcPr>
            <w:tcW w:w="3118" w:type="dxa"/>
          </w:tcPr>
          <w:p w:rsidR="00173E7A" w:rsidRPr="00B346D2" w:rsidRDefault="00173E7A" w:rsidP="00173E7A">
            <w:pPr>
              <w:cnfStyle w:val="000000100000"/>
            </w:pPr>
            <w:proofErr w:type="spellStart"/>
            <w:r>
              <w:t>Laytown</w:t>
            </w:r>
            <w:proofErr w:type="spellEnd"/>
            <w:r>
              <w:t>/</w:t>
            </w:r>
            <w:proofErr w:type="spellStart"/>
            <w:r>
              <w:t>Bettystown</w:t>
            </w:r>
            <w:proofErr w:type="spellEnd"/>
            <w:r>
              <w:t xml:space="preserve"> MD</w:t>
            </w: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Bernard Kenny</w:t>
            </w:r>
          </w:p>
          <w:p w:rsidR="00173E7A" w:rsidRDefault="00173E7A" w:rsidP="00173E7A">
            <w:pPr>
              <w:cnfStyle w:val="000000000000"/>
              <w:rPr>
                <w:rFonts w:ascii="Calibri" w:hAnsi="Calibri"/>
                <w:color w:val="000000"/>
              </w:rPr>
            </w:pPr>
          </w:p>
        </w:tc>
        <w:tc>
          <w:tcPr>
            <w:tcW w:w="3118" w:type="dxa"/>
          </w:tcPr>
          <w:p w:rsidR="00173E7A" w:rsidRPr="00B346D2" w:rsidRDefault="00173E7A" w:rsidP="00173E7A">
            <w:pPr>
              <w:cnfStyle w:val="000000000000"/>
            </w:pPr>
            <w:proofErr w:type="spellStart"/>
            <w:r>
              <w:t>Navan</w:t>
            </w:r>
            <w:proofErr w:type="spellEnd"/>
            <w:r>
              <w:t xml:space="preserve"> MD</w:t>
            </w:r>
          </w:p>
        </w:tc>
      </w:tr>
      <w:tr w:rsidR="00173E7A" w:rsidTr="00C256A4">
        <w:trPr>
          <w:cnfStyle w:val="000000100000"/>
        </w:trPr>
        <w:tc>
          <w:tcPr>
            <w:cnfStyle w:val="001000000000"/>
            <w:tcW w:w="3085" w:type="dxa"/>
          </w:tcPr>
          <w:p w:rsidR="00173E7A" w:rsidRDefault="00173E7A" w:rsidP="00173E7A">
            <w:r>
              <w:t>Leader Independent Evaluation Committee</w:t>
            </w:r>
          </w:p>
        </w:tc>
        <w:tc>
          <w:tcPr>
            <w:tcW w:w="2977" w:type="dxa"/>
          </w:tcPr>
          <w:p w:rsidR="00173E7A" w:rsidRDefault="00173E7A" w:rsidP="00173E7A">
            <w:pPr>
              <w:cnfStyle w:val="000000100000"/>
              <w:rPr>
                <w:rFonts w:ascii="Calibri" w:hAnsi="Calibri"/>
                <w:color w:val="000000"/>
              </w:rPr>
            </w:pPr>
            <w:r>
              <w:rPr>
                <w:rFonts w:ascii="Calibri" w:hAnsi="Calibri"/>
                <w:color w:val="000000"/>
              </w:rPr>
              <w:t>James Cooke</w:t>
            </w:r>
          </w:p>
        </w:tc>
        <w:tc>
          <w:tcPr>
            <w:tcW w:w="3118" w:type="dxa"/>
          </w:tcPr>
          <w:p w:rsidR="00173E7A" w:rsidRDefault="00173E7A" w:rsidP="00173E7A">
            <w:pPr>
              <w:cnfStyle w:val="000000100000"/>
            </w:pPr>
            <w:r>
              <w:t>Community/Voluntary</w:t>
            </w:r>
          </w:p>
          <w:p w:rsidR="00173E7A" w:rsidRDefault="00173E7A" w:rsidP="00173E7A">
            <w:pPr>
              <w:cnfStyle w:val="000000100000"/>
            </w:pPr>
          </w:p>
        </w:tc>
      </w:tr>
      <w:tr w:rsidR="00173E7A" w:rsidTr="00C256A4">
        <w:tc>
          <w:tcPr>
            <w:cnfStyle w:val="001000000000"/>
            <w:tcW w:w="3085" w:type="dxa"/>
          </w:tcPr>
          <w:p w:rsidR="00173E7A" w:rsidRDefault="00173E7A" w:rsidP="00173E7A"/>
        </w:tc>
        <w:tc>
          <w:tcPr>
            <w:tcW w:w="2977" w:type="dxa"/>
          </w:tcPr>
          <w:p w:rsidR="00173E7A" w:rsidRDefault="00173E7A" w:rsidP="00173E7A">
            <w:pPr>
              <w:cnfStyle w:val="000000000000"/>
              <w:rPr>
                <w:rFonts w:ascii="Calibri" w:hAnsi="Calibri"/>
                <w:color w:val="000000"/>
              </w:rPr>
            </w:pPr>
            <w:r>
              <w:rPr>
                <w:rFonts w:ascii="Calibri" w:hAnsi="Calibri"/>
                <w:color w:val="000000"/>
              </w:rPr>
              <w:t xml:space="preserve">Mary </w:t>
            </w:r>
            <w:proofErr w:type="spellStart"/>
            <w:r>
              <w:rPr>
                <w:rFonts w:ascii="Calibri" w:hAnsi="Calibri"/>
                <w:color w:val="000000"/>
              </w:rPr>
              <w:t>Lydon</w:t>
            </w:r>
            <w:proofErr w:type="spellEnd"/>
          </w:p>
        </w:tc>
        <w:tc>
          <w:tcPr>
            <w:tcW w:w="3118" w:type="dxa"/>
          </w:tcPr>
          <w:p w:rsidR="00173E7A" w:rsidRDefault="00173E7A" w:rsidP="00173E7A">
            <w:pPr>
              <w:cnfStyle w:val="000000000000"/>
            </w:pPr>
            <w:r>
              <w:t xml:space="preserve">Social Inclusion </w:t>
            </w:r>
          </w:p>
          <w:p w:rsidR="00173E7A" w:rsidRDefault="00173E7A" w:rsidP="00173E7A">
            <w:pPr>
              <w:cnfStyle w:val="000000000000"/>
            </w:pPr>
          </w:p>
        </w:tc>
      </w:tr>
      <w:tr w:rsidR="00173E7A" w:rsidTr="00C256A4">
        <w:trPr>
          <w:cnfStyle w:val="000000100000"/>
        </w:trPr>
        <w:tc>
          <w:tcPr>
            <w:cnfStyle w:val="001000000000"/>
            <w:tcW w:w="3085" w:type="dxa"/>
          </w:tcPr>
          <w:p w:rsidR="00173E7A" w:rsidRDefault="00173E7A" w:rsidP="00173E7A"/>
        </w:tc>
        <w:tc>
          <w:tcPr>
            <w:tcW w:w="2977" w:type="dxa"/>
          </w:tcPr>
          <w:p w:rsidR="00173E7A" w:rsidRDefault="00173E7A" w:rsidP="00173E7A">
            <w:pPr>
              <w:cnfStyle w:val="000000100000"/>
              <w:rPr>
                <w:rFonts w:ascii="Calibri" w:hAnsi="Calibri"/>
                <w:color w:val="000000"/>
              </w:rPr>
            </w:pPr>
            <w:r>
              <w:rPr>
                <w:rFonts w:ascii="Calibri" w:hAnsi="Calibri"/>
                <w:color w:val="000000"/>
              </w:rPr>
              <w:t>Kieran Cummins</w:t>
            </w:r>
          </w:p>
        </w:tc>
        <w:tc>
          <w:tcPr>
            <w:tcW w:w="3118" w:type="dxa"/>
          </w:tcPr>
          <w:p w:rsidR="00173E7A" w:rsidRDefault="00173E7A" w:rsidP="00173E7A">
            <w:pPr>
              <w:cnfStyle w:val="000000100000"/>
            </w:pPr>
            <w:r>
              <w:t>Environment</w:t>
            </w:r>
          </w:p>
        </w:tc>
      </w:tr>
    </w:tbl>
    <w:p w:rsidR="00DD5C27" w:rsidRDefault="00DD5C27">
      <w:pPr>
        <w:rPr>
          <w:color w:val="8064A2" w:themeColor="accent4"/>
          <w:sz w:val="32"/>
          <w:szCs w:val="32"/>
        </w:rPr>
      </w:pPr>
    </w:p>
    <w:p w:rsidR="00F01212" w:rsidRDefault="009659ED">
      <w:pPr>
        <w:rPr>
          <w:color w:val="8064A2" w:themeColor="accent4"/>
          <w:sz w:val="32"/>
          <w:szCs w:val="32"/>
        </w:rPr>
      </w:pPr>
      <w:r w:rsidRPr="009659ED">
        <w:rPr>
          <w:color w:val="8064A2" w:themeColor="accent4"/>
          <w:sz w:val="32"/>
          <w:szCs w:val="32"/>
        </w:rPr>
        <w:t>Environment College update</w:t>
      </w:r>
    </w:p>
    <w:p w:rsidR="00985806" w:rsidRDefault="009D1664" w:rsidP="009D1664">
      <w:r>
        <w:t xml:space="preserve">The Meath Environmental Network is composed of representatives of groups that comply with the criteria of the Irish Environmental Network for membership. The primary </w:t>
      </w:r>
      <w:r w:rsidR="00985806">
        <w:t>object of the group is</w:t>
      </w:r>
      <w:r>
        <w:t xml:space="preserve"> the promotion, preservation, sustainability etc. of the natural environment. </w:t>
      </w:r>
    </w:p>
    <w:p w:rsidR="009D1664" w:rsidRDefault="009D1664" w:rsidP="009D1664">
      <w:r>
        <w:t>The Network meets approximately every month to consider topics related to the environment in the county. Issue related to recycling, waste disposal, preservation of flora and fauna etc. are discussed at meetings. Guest speakers have addressed the Network in order to provide in-depth information in relation to a topic of interest to the network.</w:t>
      </w:r>
    </w:p>
    <w:p w:rsidR="009D1664" w:rsidRDefault="009D1664" w:rsidP="009D1664">
      <w:r>
        <w:t xml:space="preserve">Currently a document outlining a renewable energy policy for county Meath is being finalised by the group.   </w:t>
      </w:r>
    </w:p>
    <w:p w:rsidR="009D1664" w:rsidRDefault="00D75A5F">
      <w:pPr>
        <w:rPr>
          <w:color w:val="8064A2" w:themeColor="accent4"/>
          <w:sz w:val="32"/>
          <w:szCs w:val="32"/>
        </w:rPr>
      </w:pPr>
      <w:r>
        <w:rPr>
          <w:color w:val="8064A2" w:themeColor="accent4"/>
          <w:sz w:val="32"/>
          <w:szCs w:val="32"/>
        </w:rPr>
        <w:t>Christmas Greetings</w:t>
      </w:r>
    </w:p>
    <w:p w:rsidR="00D75A5F" w:rsidRPr="00D75A5F" w:rsidRDefault="00D75A5F">
      <w:r>
        <w:t xml:space="preserve">The Secretariat wish all PPN members a very happy and peaceful Christmas  and look forward to continuing to work on behalf of the PPN members in 2017. </w:t>
      </w:r>
    </w:p>
    <w:sectPr w:rsidR="00D75A5F" w:rsidRPr="00D75A5F" w:rsidSect="000E6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4D8"/>
    <w:rsid w:val="000E6B75"/>
    <w:rsid w:val="00120DE6"/>
    <w:rsid w:val="00173E7A"/>
    <w:rsid w:val="001B5DF1"/>
    <w:rsid w:val="002B16D0"/>
    <w:rsid w:val="004236B6"/>
    <w:rsid w:val="004E4A91"/>
    <w:rsid w:val="00560915"/>
    <w:rsid w:val="005C39CC"/>
    <w:rsid w:val="007C62AA"/>
    <w:rsid w:val="00926C5E"/>
    <w:rsid w:val="009659ED"/>
    <w:rsid w:val="009843E9"/>
    <w:rsid w:val="00985806"/>
    <w:rsid w:val="009A2AE7"/>
    <w:rsid w:val="009D1664"/>
    <w:rsid w:val="00A4756D"/>
    <w:rsid w:val="00A6700E"/>
    <w:rsid w:val="00B72187"/>
    <w:rsid w:val="00B97415"/>
    <w:rsid w:val="00C256A4"/>
    <w:rsid w:val="00D354D8"/>
    <w:rsid w:val="00D75A5F"/>
    <w:rsid w:val="00DD5C27"/>
    <w:rsid w:val="00F012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256A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5609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rourke\AppData\Local\Microsoft\Windows\Temporary%20Internet%20Files\Content.Outlook\948DF8MI\www.meathppn.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a03e9dce-2294-47dd-b01c-1423f3f0781e@laservices.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40A20-9031-48D5-A454-CCD0BD3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2016-12-14T14:23:00Z</cp:lastPrinted>
  <dcterms:created xsi:type="dcterms:W3CDTF">2016-12-14T14:39:00Z</dcterms:created>
  <dcterms:modified xsi:type="dcterms:W3CDTF">2016-12-14T14:39:00Z</dcterms:modified>
</cp:coreProperties>
</file>